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B0A2" w14:textId="09A34180" w:rsidR="00A54910" w:rsidRPr="00212D8A" w:rsidRDefault="008363AF" w:rsidP="00C51C46">
      <w:pPr>
        <w:rPr>
          <w:rFonts w:ascii="Merriweather Light" w:hAnsi="Merriweather Light"/>
          <w:b/>
        </w:rPr>
      </w:pPr>
      <w:r w:rsidRPr="00212D8A">
        <w:rPr>
          <w:rFonts w:ascii="Merriweather Light" w:hAnsi="Merriweather Light"/>
          <w:b/>
          <w:i/>
        </w:rPr>
        <w:t xml:space="preserve">Obrazloženje </w:t>
      </w:r>
      <w:r w:rsidR="00634FE3" w:rsidRPr="00212D8A">
        <w:rPr>
          <w:rFonts w:ascii="Merriweather Light" w:hAnsi="Merriweather Light"/>
          <w:b/>
          <w:i/>
        </w:rPr>
        <w:t>općeg</w:t>
      </w:r>
      <w:r w:rsidRPr="00212D8A">
        <w:rPr>
          <w:rFonts w:ascii="Merriweather Light" w:hAnsi="Merriweather Light"/>
          <w:b/>
          <w:i/>
        </w:rPr>
        <w:t xml:space="preserve"> dijela izvještaja o polugodišnjem izvršenju financijskog plana 2023.</w:t>
      </w:r>
    </w:p>
    <w:p w14:paraId="77BD1974" w14:textId="77777777" w:rsidR="00E32762" w:rsidRPr="00212D8A" w:rsidRDefault="00C51C46" w:rsidP="00C51C46">
      <w:pPr>
        <w:rPr>
          <w:rFonts w:ascii="Merriweather Light" w:hAnsi="Merriweather Light"/>
          <w:b/>
        </w:rPr>
      </w:pPr>
      <w:r w:rsidRPr="00212D8A">
        <w:rPr>
          <w:rFonts w:ascii="Merriweather Light" w:hAnsi="Merriweather Light"/>
          <w:b/>
        </w:rPr>
        <w:t xml:space="preserve"> </w:t>
      </w:r>
    </w:p>
    <w:p w14:paraId="2C8678D8" w14:textId="2349F605" w:rsidR="00C51C46" w:rsidRPr="00212D8A" w:rsidRDefault="00731E3B" w:rsidP="00C51C46">
      <w:pPr>
        <w:rPr>
          <w:rFonts w:ascii="Merriweather Light" w:hAnsi="Merriweather Light"/>
          <w:b/>
        </w:rPr>
      </w:pPr>
      <w:r w:rsidRPr="00212D8A">
        <w:rPr>
          <w:rFonts w:ascii="Merriweather Light" w:hAnsi="Merriweather Light"/>
          <w:b/>
        </w:rPr>
        <w:t>Sveučilište</w:t>
      </w:r>
      <w:r w:rsidR="00C51C46" w:rsidRPr="00212D8A">
        <w:rPr>
          <w:rFonts w:ascii="Merriweather Light" w:hAnsi="Merriweather Light"/>
          <w:b/>
        </w:rPr>
        <w:t xml:space="preserve"> </w:t>
      </w:r>
      <w:r w:rsidR="008E3E34" w:rsidRPr="00212D8A">
        <w:rPr>
          <w:rFonts w:ascii="Merriweather Light" w:hAnsi="Merriweather Light"/>
          <w:b/>
        </w:rPr>
        <w:t>u Zadru</w:t>
      </w:r>
      <w:r w:rsidR="00367C03" w:rsidRPr="00212D8A">
        <w:rPr>
          <w:rFonts w:ascii="Merriweather Light" w:hAnsi="Merriweather Light"/>
          <w:b/>
        </w:rPr>
        <w:t xml:space="preserve"> </w:t>
      </w:r>
    </w:p>
    <w:p w14:paraId="3DD6BA21" w14:textId="77777777" w:rsidR="00C51C46" w:rsidRPr="00212D8A" w:rsidRDefault="00C51C46" w:rsidP="00C51C46">
      <w:pPr>
        <w:rPr>
          <w:rFonts w:ascii="Merriweather Light" w:hAnsi="Merriweather Light"/>
          <w:sz w:val="22"/>
          <w:szCs w:val="22"/>
        </w:rPr>
      </w:pPr>
    </w:p>
    <w:p w14:paraId="18F46FFA" w14:textId="642FD33C" w:rsidR="00AA208B" w:rsidRPr="00212D8A" w:rsidRDefault="00AA208B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Zakonom o proračunu </w:t>
      </w:r>
      <w:r w:rsidR="00CA0085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(»Narodne novine«, broj 144/21.) 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članak 86. propisano je podnošenje polugodišnjeg i godišnjeg izvještaja o izvršenju financijskog plana proračunskog korisnika. Sveučilište u Zadru dužno je do 31. srpnja tekuće proračunske godine dostaviti upravljačkom tijelu na usvajanje prijedlog polugodišnjeg izvještaja o izvršenju financijskog plana za razdoblje od 01.01.-30.06. tekuće godine.</w:t>
      </w:r>
    </w:p>
    <w:p w14:paraId="19C7A035" w14:textId="77777777" w:rsidR="00CA0085" w:rsidRPr="00212D8A" w:rsidRDefault="00CA0085" w:rsidP="00212D8A">
      <w:pPr>
        <w:spacing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</w:p>
    <w:p w14:paraId="2165CB56" w14:textId="1460F784" w:rsidR="001F4BA0" w:rsidRPr="00212D8A" w:rsidRDefault="00D82B50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Na temelju članka 76. stavka 3. i članka 81. stavka 3. Zakona o proračunu </w:t>
      </w:r>
      <w:bookmarkStart w:id="0" w:name="_Hlk140067880"/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(»Narodne novine«, broj 144/21.) </w:t>
      </w:r>
      <w:bookmarkEnd w:id="0"/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ministar financija donosi</w:t>
      </w:r>
      <w:r w:rsidR="001F4BA0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PRAVILNIK</w:t>
      </w:r>
      <w:r w:rsidR="00CA0085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</w:t>
      </w:r>
      <w:r w:rsidR="001F4BA0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O POLUGODIŠNJEM I GODIŠNJEM IZVJEŠTAJU O IZVRŠENJU PRORAČUNA I FINANCIJSKOG PLANA. Pravilnikom o polugodišnjem i godišnjem izvještaju o izvršenju proračuna i financijskog plana (u daljnjem tekstu: Pravilnik) propisuje se izgled, sadržaj, obveznici izrade, način i rokovi podnošenja, donošenja i objave polugodišnjeg i godišnjeg izvještaja o izvršenju proračuna i financijskog plana.</w:t>
      </w:r>
    </w:p>
    <w:p w14:paraId="01CBA0E0" w14:textId="22086B99" w:rsidR="00CA0085" w:rsidRPr="00212D8A" w:rsidRDefault="001679B2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Polugodišnji izvještaj o izvršenju financijskog plana Svu</w:t>
      </w:r>
      <w:r w:rsidR="00F03508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č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ilišta u </w:t>
      </w:r>
      <w:r w:rsidR="00F03508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Z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adru  za razdoblje od 01.01. do 30.06.2023.godine</w:t>
      </w:r>
      <w:r w:rsidR="003774DF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sastavljen</w:t>
      </w:r>
      <w:r w:rsidR="00C148C2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</w:t>
      </w:r>
      <w:r w:rsidR="003774DF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je 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na temelju sadržaja propisanog Zakonom o proračunu (»Narodne novine«, broj 144/21.)</w:t>
      </w:r>
      <w:r w:rsidR="003774DF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članak 81. do 85.</w:t>
      </w:r>
      <w:r w:rsidR="001F4BA0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 </w:t>
      </w:r>
      <w:r w:rsidR="003774DF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b</w:t>
      </w:r>
      <w:r w:rsidR="00CA0085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udući da u trenutku izrade Polugodišnjeg izvještaja o izvršenju financijskog plana Pravilnik o polugodišnjem i godišnjem izvještaju proračuna 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i financijskog plana nije usvojen te je dostupan  </w:t>
      </w:r>
      <w:r w:rsidR="003774DF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samo 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Prijedlog Pravilnika o polugodišnjem i godišnjem izvještaju proračuna i financijskog plana</w:t>
      </w:r>
      <w:r w:rsidR="003774DF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.</w:t>
      </w:r>
    </w:p>
    <w:p w14:paraId="0949850A" w14:textId="77777777" w:rsidR="0072235A" w:rsidRPr="00212D8A" w:rsidRDefault="0072235A" w:rsidP="00212D8A">
      <w:pPr>
        <w:autoSpaceDE w:val="0"/>
        <w:jc w:val="both"/>
        <w:rPr>
          <w:rFonts w:ascii="Merriweather Light" w:hAnsi="Merriweather Light"/>
          <w:sz w:val="22"/>
          <w:szCs w:val="22"/>
          <w:lang w:eastAsia="en-US"/>
        </w:rPr>
      </w:pPr>
      <w:r w:rsidRPr="00212D8A">
        <w:rPr>
          <w:rFonts w:ascii="Merriweather Light" w:hAnsi="Merriweather Light"/>
          <w:sz w:val="22"/>
          <w:szCs w:val="22"/>
        </w:rPr>
        <w:t>Godišnji izvještaj o izvršenju proračuna podnosi se sukladno odredbama Zakona o proračunu (NN 87/08, 136/12, 15/15) i Pravilnika o polugodišnjem i godišnjem izvještaju o izvršenju proračuna (NN 24/13 i 102/17, 1/20 i 147/20).</w:t>
      </w:r>
    </w:p>
    <w:p w14:paraId="16ECE2A1" w14:textId="77777777" w:rsidR="00C57537" w:rsidRPr="00212D8A" w:rsidRDefault="00C57537" w:rsidP="00212D8A">
      <w:pPr>
        <w:autoSpaceDE w:val="0"/>
        <w:jc w:val="both"/>
        <w:rPr>
          <w:rFonts w:ascii="Merriweather Light" w:hAnsi="Merriweather Light"/>
          <w:sz w:val="22"/>
          <w:szCs w:val="22"/>
        </w:rPr>
      </w:pPr>
    </w:p>
    <w:p w14:paraId="64817E1D" w14:textId="07D36C43" w:rsidR="0072235A" w:rsidRPr="00212D8A" w:rsidRDefault="0072235A" w:rsidP="00212D8A">
      <w:pPr>
        <w:autoSpaceDE w:val="0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Polugodišnji izvještaj </w:t>
      </w:r>
      <w:r w:rsidR="00C57537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o izvršenju financijskog plana Sveučilišta u Zadru za 2023. godinu sadrži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:</w:t>
      </w:r>
    </w:p>
    <w:p w14:paraId="56D00230" w14:textId="2A080F40" w:rsidR="0072235A" w:rsidRPr="00212D8A" w:rsidRDefault="0072235A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1.</w:t>
      </w:r>
      <w:r w:rsidR="00A204EF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Opći dio </w:t>
      </w:r>
      <w:r w:rsidR="00C57537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polugodišnjeg izvještaja o izvršenju financijskog plana:</w:t>
      </w:r>
    </w:p>
    <w:p w14:paraId="77748736" w14:textId="77777777" w:rsidR="003E2F9C" w:rsidRPr="00212D8A" w:rsidRDefault="003E2F9C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</w:p>
    <w:p w14:paraId="6298E66F" w14:textId="608C0A50" w:rsidR="003E2F9C" w:rsidRPr="00212D8A" w:rsidRDefault="003E2F9C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- sažetak A. Računa prihoda i rashoda i B. Računa financiranja</w:t>
      </w:r>
    </w:p>
    <w:p w14:paraId="5A1130DA" w14:textId="77777777" w:rsidR="003E2F9C" w:rsidRPr="00212D8A" w:rsidRDefault="003E2F9C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</w:p>
    <w:p w14:paraId="04F0DB9C" w14:textId="77777777" w:rsidR="0072235A" w:rsidRPr="00212D8A" w:rsidRDefault="0072235A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A. Račun prihoda i rashoda iskazuje se u sljedećim tablicama: </w:t>
      </w:r>
    </w:p>
    <w:p w14:paraId="27259FED" w14:textId="77777777" w:rsidR="0072235A" w:rsidRPr="00212D8A" w:rsidRDefault="0072235A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•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ab/>
        <w:t>Prihodi i rashodi prema ekonomskoj klasifikaciji</w:t>
      </w:r>
    </w:p>
    <w:p w14:paraId="69752009" w14:textId="77777777" w:rsidR="0072235A" w:rsidRPr="00212D8A" w:rsidRDefault="0072235A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•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ab/>
        <w:t>Prihodi i rashodi prema izvorima financiranja</w:t>
      </w:r>
    </w:p>
    <w:p w14:paraId="4D5AEA69" w14:textId="77777777" w:rsidR="0072235A" w:rsidRPr="00212D8A" w:rsidRDefault="0072235A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•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ab/>
        <w:t>Rashodi prema funkcijskoj klasifikaciji.</w:t>
      </w:r>
    </w:p>
    <w:p w14:paraId="33DFA2A0" w14:textId="77777777" w:rsidR="0072235A" w:rsidRPr="00212D8A" w:rsidRDefault="0072235A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B. Račun financiranja iskazuje se u slijedećim tablicama: </w:t>
      </w:r>
    </w:p>
    <w:p w14:paraId="256E9DDB" w14:textId="77777777" w:rsidR="0072235A" w:rsidRPr="00212D8A" w:rsidRDefault="0072235A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•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ab/>
        <w:t xml:space="preserve">Račun financiranja prema ekonomskoj klasifikaciji </w:t>
      </w:r>
    </w:p>
    <w:p w14:paraId="1FAAAA36" w14:textId="4C740EE3" w:rsidR="0072235A" w:rsidRPr="00212D8A" w:rsidRDefault="0072235A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•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ab/>
        <w:t>Račun financiranja prema izvorima financiranja</w:t>
      </w:r>
    </w:p>
    <w:p w14:paraId="1B6C0670" w14:textId="1A3FC6B7" w:rsidR="003E2F9C" w:rsidRPr="00212D8A" w:rsidRDefault="003E2F9C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</w:p>
    <w:p w14:paraId="1BB70DA9" w14:textId="506ED955" w:rsidR="003E2F9C" w:rsidRPr="00212D8A" w:rsidRDefault="003E2F9C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- obrazloženje općeg dijela izvještaja o izvršenju financijskog plana Sveučilišta u Zadru</w:t>
      </w:r>
    </w:p>
    <w:p w14:paraId="47947C5A" w14:textId="267366CF" w:rsidR="003E2F9C" w:rsidRPr="00212D8A" w:rsidRDefault="003E2F9C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</w:p>
    <w:p w14:paraId="343BCC12" w14:textId="7510A335" w:rsidR="003E2F9C" w:rsidRPr="00212D8A" w:rsidRDefault="003E2F9C" w:rsidP="00212D8A">
      <w:pPr>
        <w:jc w:val="both"/>
        <w:rPr>
          <w:rFonts w:ascii="Merriweather Light" w:hAnsi="Merriweather Light"/>
          <w:sz w:val="22"/>
          <w:szCs w:val="22"/>
        </w:rPr>
      </w:pPr>
    </w:p>
    <w:p w14:paraId="1A520BD6" w14:textId="589CD3A7" w:rsidR="003E2F9C" w:rsidRPr="00212D8A" w:rsidRDefault="003E2F9C" w:rsidP="00212D8A">
      <w:pPr>
        <w:jc w:val="both"/>
        <w:rPr>
          <w:rFonts w:ascii="Merriweather Light" w:hAnsi="Merriweather Light"/>
          <w:sz w:val="22"/>
          <w:szCs w:val="22"/>
        </w:rPr>
      </w:pPr>
    </w:p>
    <w:p w14:paraId="13708F61" w14:textId="77777777" w:rsidR="003E2F9C" w:rsidRPr="00212D8A" w:rsidRDefault="003E2F9C" w:rsidP="00212D8A">
      <w:pPr>
        <w:jc w:val="both"/>
        <w:rPr>
          <w:rFonts w:ascii="Merriweather Light" w:hAnsi="Merriweather Light"/>
          <w:sz w:val="22"/>
          <w:szCs w:val="22"/>
        </w:rPr>
      </w:pPr>
    </w:p>
    <w:p w14:paraId="0F4FE09B" w14:textId="741BD375" w:rsidR="00B3137F" w:rsidRPr="00212D8A" w:rsidRDefault="0072235A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bCs/>
          <w:sz w:val="22"/>
          <w:szCs w:val="22"/>
        </w:rPr>
        <w:t>2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.</w:t>
      </w:r>
      <w:r w:rsidR="00C57A34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Posebni dio </w:t>
      </w:r>
      <w:r w:rsidR="00B3137F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polugodišnjeg izvještaja o izvršenju financijskog plana </w:t>
      </w:r>
    </w:p>
    <w:p w14:paraId="3ABD3DD5" w14:textId="73DD63F0" w:rsidR="0072235A" w:rsidRPr="00212D8A" w:rsidRDefault="0072235A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•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ab/>
        <w:t xml:space="preserve">Izvršenje po </w:t>
      </w:r>
      <w:r w:rsidR="003E2F9C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ekonomskoj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klasifikaciji</w:t>
      </w:r>
    </w:p>
    <w:p w14:paraId="08F9D618" w14:textId="2EC274BA" w:rsidR="0072235A" w:rsidRPr="00212D8A" w:rsidRDefault="0072235A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•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ab/>
        <w:t>Izvršenje po programskoj klasifikaciji</w:t>
      </w:r>
    </w:p>
    <w:p w14:paraId="7504D52A" w14:textId="1372FAA7" w:rsidR="00D33ADB" w:rsidRPr="00212D8A" w:rsidRDefault="00A204EF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•           </w:t>
      </w:r>
      <w:r w:rsidR="00D33ADB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Izvršenje po izvorima financiranja</w:t>
      </w:r>
    </w:p>
    <w:p w14:paraId="76EB0B88" w14:textId="77777777" w:rsidR="00D33ADB" w:rsidRPr="00212D8A" w:rsidRDefault="00D33ADB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</w:p>
    <w:p w14:paraId="0C8ECEE6" w14:textId="74641B1B" w:rsidR="00D33ADB" w:rsidRPr="00212D8A" w:rsidRDefault="00D33ADB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- obrazloženje posebnog dijela izvještaja o izvršenju financijskog plana Sveučilišta u Zadru</w:t>
      </w:r>
    </w:p>
    <w:p w14:paraId="30FC8FF4" w14:textId="77777777" w:rsidR="003E2F9C" w:rsidRPr="00212D8A" w:rsidRDefault="003E2F9C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</w:p>
    <w:p w14:paraId="739715A8" w14:textId="36C1E9E7" w:rsidR="0072235A" w:rsidRPr="00212D8A" w:rsidRDefault="0072235A" w:rsidP="00212D8A">
      <w:pPr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3. </w:t>
      </w:r>
      <w:r w:rsidR="00D33ADB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Izvještaj o korištenju sredstava fondova Europske unije</w:t>
      </w:r>
      <w:r w:rsidR="009048EF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</w:t>
      </w:r>
    </w:p>
    <w:p w14:paraId="2C9D071F" w14:textId="619AF5A8" w:rsidR="00D33ADB" w:rsidRPr="00212D8A" w:rsidRDefault="00D33ADB" w:rsidP="00212D8A">
      <w:pPr>
        <w:autoSpaceDE w:val="0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4</w:t>
      </w:r>
      <w:r w:rsidR="0072235A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. 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Izvještaj o stanju potraživanja i dospjelih obveza te o stanju potencijalnih obveza po osnovi sudskih sporova. </w:t>
      </w:r>
    </w:p>
    <w:p w14:paraId="67DD5621" w14:textId="77777777" w:rsidR="0072235A" w:rsidRPr="00212D8A" w:rsidRDefault="0072235A" w:rsidP="00212D8A">
      <w:pPr>
        <w:autoSpaceDE w:val="0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</w:p>
    <w:p w14:paraId="732A4591" w14:textId="616CB5AC" w:rsidR="0072235A" w:rsidRPr="00212D8A" w:rsidRDefault="0072235A" w:rsidP="00212D8A">
      <w:pPr>
        <w:autoSpaceDE w:val="0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U izvještajnom razdoblju ukupni prihodi i primici Sveučilišta u Zadru ostvareni su u visini od 14.066.284 €, dok su ukupni rashodi i izdaci realizirani u visini od 15.503.136,29 €.</w:t>
      </w:r>
    </w:p>
    <w:p w14:paraId="313E0DA6" w14:textId="73B6C65F" w:rsidR="0072235A" w:rsidRPr="00212D8A" w:rsidRDefault="009048EF" w:rsidP="00212D8A">
      <w:pPr>
        <w:autoSpaceDE w:val="0"/>
        <w:jc w:val="both"/>
        <w:rPr>
          <w:rFonts w:ascii="Merriweather Light" w:hAnsi="Merriweather Light"/>
          <w:bCs/>
          <w:sz w:val="22"/>
          <w:szCs w:val="22"/>
        </w:rPr>
      </w:pPr>
      <w:r w:rsidRPr="00212D8A">
        <w:rPr>
          <w:rFonts w:ascii="Merriweather Light" w:hAnsi="Merriweather Light"/>
          <w:bCs/>
          <w:sz w:val="22"/>
          <w:szCs w:val="22"/>
        </w:rPr>
        <w:t xml:space="preserve">Višak rashoda nad ostvarenim prihodima pokriven je donosom neutrošenih sredstava iz prethodnog razdoblja u iznosu 4.824.001,00 €. Navedeni donos sastoji se od neutrošenih vlastitih i namjenskih sredstava, te sredstava koja nisu utrošena unutar projekata. Također su ostala neutrošena sredstva </w:t>
      </w:r>
      <w:r w:rsidR="00266333" w:rsidRPr="00212D8A">
        <w:rPr>
          <w:rFonts w:ascii="Merriweather Light" w:hAnsi="Merriweather Light"/>
          <w:bCs/>
          <w:sz w:val="22"/>
          <w:szCs w:val="22"/>
        </w:rPr>
        <w:t>nadležnog Ministarstva za obnovu objekata u visokom obrazovanju, sistematske preglede i neutrošena sredstva programskog financiranja za znanost.</w:t>
      </w:r>
    </w:p>
    <w:p w14:paraId="3ABB1346" w14:textId="35DF489C" w:rsidR="00D77228" w:rsidRPr="00212D8A" w:rsidRDefault="00D77228" w:rsidP="00212D8A">
      <w:pPr>
        <w:spacing w:after="160" w:line="259" w:lineRule="auto"/>
        <w:jc w:val="both"/>
        <w:rPr>
          <w:rFonts w:ascii="Merriweather Light" w:hAnsi="Merriweather Light"/>
          <w:color w:val="FF0000"/>
          <w:sz w:val="22"/>
          <w:szCs w:val="22"/>
          <w:shd w:val="clear" w:color="auto" w:fill="FFFFFF"/>
        </w:rPr>
      </w:pPr>
    </w:p>
    <w:p w14:paraId="51F15CE4" w14:textId="76CD8B5C" w:rsidR="00D77228" w:rsidRPr="00212D8A" w:rsidRDefault="00D77228" w:rsidP="00212D8A">
      <w:pPr>
        <w:pStyle w:val="ListParagraph"/>
        <w:numPr>
          <w:ilvl w:val="0"/>
          <w:numId w:val="27"/>
        </w:numPr>
        <w:jc w:val="both"/>
        <w:rPr>
          <w:rFonts w:ascii="Merriweather Light" w:hAnsi="Merriweather Light" w:cs="Times New Roman"/>
          <w:b/>
          <w:bCs/>
          <w:color w:val="000000"/>
          <w:shd w:val="clear" w:color="auto" w:fill="FFFFFF"/>
        </w:rPr>
      </w:pPr>
      <w:r w:rsidRPr="00212D8A">
        <w:rPr>
          <w:rFonts w:ascii="Merriweather Light" w:hAnsi="Merriweather Light" w:cs="Times New Roman"/>
          <w:b/>
          <w:bCs/>
          <w:color w:val="000000"/>
          <w:shd w:val="clear" w:color="auto" w:fill="FFFFFF"/>
        </w:rPr>
        <w:t>Prihodi</w:t>
      </w:r>
    </w:p>
    <w:p w14:paraId="4D1D3627" w14:textId="06174514" w:rsidR="00D77228" w:rsidRPr="00212D8A" w:rsidRDefault="00D77228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Ukupni prihodi Sveučilišta u Zadru za razdoblje od 1.1.-30.6.2023.</w:t>
      </w:r>
      <w:r w:rsidR="0072235A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godine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iznose 14.066.284 € što je 50% plana, te 6% manje u odnosu na isto razdoblje prethodne godine.</w:t>
      </w:r>
    </w:p>
    <w:p w14:paraId="73209786" w14:textId="227CB9FA" w:rsidR="00D77228" w:rsidRPr="00212D8A" w:rsidRDefault="00D77228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Prihodi se sastoje od prihoda poslovanja i prihoda od nefinancijske imovine.</w:t>
      </w:r>
    </w:p>
    <w:p w14:paraId="25F77122" w14:textId="77777777" w:rsidR="00C148C2" w:rsidRPr="00212D8A" w:rsidRDefault="00C148C2" w:rsidP="00212D8A">
      <w:pPr>
        <w:spacing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</w:p>
    <w:p w14:paraId="1D9099A5" w14:textId="517CB90B" w:rsidR="00D77228" w:rsidRPr="00212D8A" w:rsidRDefault="00D77228" w:rsidP="00212D8A">
      <w:pPr>
        <w:pStyle w:val="ListParagraph"/>
        <w:numPr>
          <w:ilvl w:val="1"/>
          <w:numId w:val="22"/>
        </w:numPr>
        <w:jc w:val="both"/>
        <w:rPr>
          <w:rFonts w:ascii="Merriweather Light" w:hAnsi="Merriweather Light" w:cs="Times New Roman"/>
          <w:b/>
          <w:bCs/>
          <w:color w:val="000000"/>
          <w:shd w:val="clear" w:color="auto" w:fill="FFFFFF"/>
        </w:rPr>
      </w:pPr>
      <w:r w:rsidRPr="00212D8A">
        <w:rPr>
          <w:rFonts w:ascii="Merriweather Light" w:hAnsi="Merriweather Light" w:cs="Times New Roman"/>
          <w:b/>
          <w:bCs/>
          <w:color w:val="000000"/>
          <w:shd w:val="clear" w:color="auto" w:fill="FFFFFF"/>
        </w:rPr>
        <w:t>Prihodi poslovanja</w:t>
      </w:r>
    </w:p>
    <w:p w14:paraId="3C7C8522" w14:textId="30BB49E9" w:rsidR="00D77228" w:rsidRPr="00212D8A" w:rsidRDefault="00D77228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Prihodi poslovanja Sveučilišta u Zadru sadrže prihode od pomoći iz inozemstva i od subjekata unutar općeg proračuna (</w:t>
      </w:r>
      <w:r w:rsidR="000672DB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pomoći iz EU, Europski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</w:t>
      </w:r>
      <w:r w:rsidR="000672DB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socijalni fond, Europski fond ERDF, međunarodne organizacije, prijenosi između proračunskih korisnika istog proračuna…), prihode od financijske imovine (kamate a'vista, pozitivne tečajne razlike), prihode od školarina, </w:t>
      </w:r>
      <w:r w:rsidR="009F2D94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prihode od vlastitih usluga i prodane robe, prihode od nadležnog Ministarstva, i ostalo.</w:t>
      </w:r>
    </w:p>
    <w:p w14:paraId="1C0F2A17" w14:textId="52B8D04B" w:rsidR="009F2D94" w:rsidRPr="00212D8A" w:rsidRDefault="009F2D94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Prihodi poslovanja za razdoblje 1.1.-30.6.2023. </w:t>
      </w:r>
      <w:r w:rsidR="0072235A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godine 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iznose 14.065.537,12 €, što je 50% plana te 6% manje od istog razdoblja prethodne godine.</w:t>
      </w:r>
    </w:p>
    <w:p w14:paraId="6F5A9A3C" w14:textId="77777777" w:rsidR="0025160B" w:rsidRPr="00212D8A" w:rsidRDefault="009F2D94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Najveći udio imaju prihodi od nadležnog Ministarstva </w:t>
      </w:r>
      <w:r w:rsidR="0017181C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u iznosu 10.953.224,68 € odnosno 46% plana. Također, značajan udio imaju </w:t>
      </w:r>
      <w:r w:rsidR="0025160B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prijenosi sredstava proračunskih korisnika istog proračuna koji se uglavnom odnose na prijenos sredstava za EU projekte u iznosu 1.137.607,92 € odnosno 56% više od plana. Razlog povećanja je nemogućnost planiranja točnog iznosa prijenosa sredstava prema Naputku nadležnog Ministarstva. </w:t>
      </w:r>
    </w:p>
    <w:p w14:paraId="3E34AD22" w14:textId="3E60F048" w:rsidR="009F2D94" w:rsidRPr="00212D8A" w:rsidRDefault="0025160B" w:rsidP="00212D8A">
      <w:pPr>
        <w:spacing w:after="160" w:line="259" w:lineRule="auto"/>
        <w:jc w:val="both"/>
        <w:rPr>
          <w:rFonts w:ascii="Merriweather Light" w:hAnsi="Merriweather Light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lastRenderedPageBreak/>
        <w:t xml:space="preserve">Također, prihodi od prodaje vlastitih usluga i robe </w:t>
      </w:r>
      <w:r w:rsidR="00E807B7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imaju značajan udio u strukturi prihoda poslovanja, i to u iznosu 881.065,19 € odnosno 75% plana. Isti su veći za 53% izvršenja istog razdoblja prethodne godine. </w:t>
      </w:r>
      <w:r w:rsidR="00684E80" w:rsidRPr="00212D8A">
        <w:rPr>
          <w:rFonts w:ascii="Merriweather Light" w:hAnsi="Merriweather Light"/>
          <w:sz w:val="22"/>
          <w:szCs w:val="22"/>
          <w:shd w:val="clear" w:color="auto" w:fill="FFFFFF"/>
        </w:rPr>
        <w:t xml:space="preserve">Povećanje se u najvećem dijelu </w:t>
      </w:r>
      <w:r w:rsidR="001865FF" w:rsidRPr="00212D8A">
        <w:rPr>
          <w:rFonts w:ascii="Merriweather Light" w:hAnsi="Merriweather Light"/>
          <w:sz w:val="22"/>
          <w:szCs w:val="22"/>
          <w:shd w:val="clear" w:color="auto" w:fill="FFFFFF"/>
        </w:rPr>
        <w:t>odnosi</w:t>
      </w:r>
      <w:r w:rsidR="00684E80" w:rsidRPr="00212D8A">
        <w:rPr>
          <w:rFonts w:ascii="Merriweather Light" w:hAnsi="Merriweather Light"/>
          <w:sz w:val="22"/>
          <w:szCs w:val="22"/>
          <w:shd w:val="clear" w:color="auto" w:fill="FFFFFF"/>
        </w:rPr>
        <w:t xml:space="preserve"> na prihode od smještaja studenata u novom studentskom domu.</w:t>
      </w:r>
    </w:p>
    <w:p w14:paraId="78D256ED" w14:textId="5C21E709" w:rsidR="00CF1327" w:rsidRPr="00212D8A" w:rsidRDefault="00CF1327" w:rsidP="00212D8A">
      <w:pPr>
        <w:spacing w:after="160" w:line="259" w:lineRule="auto"/>
        <w:jc w:val="both"/>
        <w:rPr>
          <w:rFonts w:ascii="Merriweather Light" w:hAnsi="Merriweather Light"/>
          <w:sz w:val="22"/>
          <w:szCs w:val="22"/>
        </w:rPr>
      </w:pPr>
      <w:r w:rsidRPr="00212D8A">
        <w:rPr>
          <w:rFonts w:ascii="Merriweather Light" w:hAnsi="Merriweather Light"/>
          <w:sz w:val="22"/>
          <w:szCs w:val="22"/>
          <w:shd w:val="clear" w:color="auto" w:fill="FFFFFF"/>
        </w:rPr>
        <w:t xml:space="preserve">Veće odstupanje </w:t>
      </w:r>
      <w:r w:rsidR="00652DF8" w:rsidRPr="00212D8A">
        <w:rPr>
          <w:rFonts w:ascii="Merriweather Light" w:hAnsi="Merriweather Light"/>
          <w:sz w:val="22"/>
          <w:szCs w:val="22"/>
          <w:shd w:val="clear" w:color="auto" w:fill="FFFFFF"/>
        </w:rPr>
        <w:t>u odnosu na izvršenje prethodne godine</w:t>
      </w:r>
      <w:r w:rsidRPr="00212D8A">
        <w:rPr>
          <w:rFonts w:ascii="Merriweather Light" w:hAnsi="Merriweather Light"/>
          <w:sz w:val="22"/>
          <w:szCs w:val="22"/>
          <w:shd w:val="clear" w:color="auto" w:fill="FFFFFF"/>
        </w:rPr>
        <w:t xml:space="preserve"> vidi se kod</w:t>
      </w:r>
      <w:r w:rsidRPr="00212D8A">
        <w:rPr>
          <w:rFonts w:ascii="Merriweather Light" w:hAnsi="Merriweather Light"/>
          <w:sz w:val="22"/>
          <w:szCs w:val="22"/>
        </w:rPr>
        <w:t xml:space="preserve"> tekućih pomoći temeljem prijenosa EU sredstava iz proračuna JLPRSa, što se od</w:t>
      </w:r>
      <w:r w:rsidR="00652DF8" w:rsidRPr="00212D8A">
        <w:rPr>
          <w:rFonts w:ascii="Merriweather Light" w:hAnsi="Merriweather Light"/>
          <w:sz w:val="22"/>
          <w:szCs w:val="22"/>
        </w:rPr>
        <w:t xml:space="preserve">nosi na EU projekt Stream koji je u ovoj godini ostvario prihod od </w:t>
      </w:r>
      <w:r w:rsidRPr="00212D8A">
        <w:rPr>
          <w:rFonts w:ascii="Merriweather Light" w:hAnsi="Merriweather Light"/>
          <w:sz w:val="22"/>
          <w:szCs w:val="22"/>
        </w:rPr>
        <w:t xml:space="preserve"> </w:t>
      </w:r>
      <w:r w:rsidR="00652DF8" w:rsidRPr="00212D8A">
        <w:rPr>
          <w:rFonts w:ascii="Merriweather Light" w:hAnsi="Merriweather Light"/>
          <w:sz w:val="22"/>
          <w:szCs w:val="22"/>
        </w:rPr>
        <w:t>130.965,70 €.</w:t>
      </w:r>
    </w:p>
    <w:p w14:paraId="1BA936EA" w14:textId="5E2FD281" w:rsidR="00652DF8" w:rsidRPr="00212D8A" w:rsidRDefault="00652DF8" w:rsidP="00212D8A">
      <w:pPr>
        <w:pStyle w:val="ListParagraph"/>
        <w:numPr>
          <w:ilvl w:val="1"/>
          <w:numId w:val="22"/>
        </w:numPr>
        <w:jc w:val="both"/>
        <w:rPr>
          <w:rFonts w:ascii="Merriweather Light" w:hAnsi="Merriweather Light" w:cs="Times New Roman"/>
          <w:b/>
          <w:bCs/>
        </w:rPr>
      </w:pPr>
      <w:r w:rsidRPr="00212D8A">
        <w:rPr>
          <w:rFonts w:ascii="Merriweather Light" w:hAnsi="Merriweather Light" w:cs="Times New Roman"/>
          <w:b/>
          <w:bCs/>
        </w:rPr>
        <w:t>Prihodi od prodaje proizvedene dugotrajne imovine</w:t>
      </w:r>
    </w:p>
    <w:p w14:paraId="705F7916" w14:textId="7D29AF9B" w:rsidR="00652DF8" w:rsidRPr="00212D8A" w:rsidRDefault="00ED7381" w:rsidP="00212D8A">
      <w:pPr>
        <w:spacing w:after="160" w:line="259" w:lineRule="auto"/>
        <w:jc w:val="both"/>
        <w:rPr>
          <w:rFonts w:ascii="Merriweather Light" w:hAnsi="Merriweather Light"/>
          <w:sz w:val="22"/>
          <w:szCs w:val="22"/>
        </w:rPr>
      </w:pPr>
      <w:r w:rsidRPr="00212D8A">
        <w:rPr>
          <w:rFonts w:ascii="Merriweather Light" w:hAnsi="Merriweather Light"/>
          <w:sz w:val="22"/>
          <w:szCs w:val="22"/>
        </w:rPr>
        <w:t xml:space="preserve">Prihodi od prodaje proizvedene dugotrajne imovine sadrže prihode od uplata za stambene objekte koje zaposlenici otplaćuju u manjim paušalnim iznosima. U razdoblju 1.1.-30.6.2023. </w:t>
      </w:r>
      <w:r w:rsidR="0072235A" w:rsidRPr="00212D8A">
        <w:rPr>
          <w:rFonts w:ascii="Merriweather Light" w:hAnsi="Merriweather Light"/>
          <w:sz w:val="22"/>
          <w:szCs w:val="22"/>
        </w:rPr>
        <w:t xml:space="preserve">godine </w:t>
      </w:r>
      <w:r w:rsidRPr="00212D8A">
        <w:rPr>
          <w:rFonts w:ascii="Merriweather Light" w:hAnsi="Merriweather Light"/>
          <w:sz w:val="22"/>
          <w:szCs w:val="22"/>
        </w:rPr>
        <w:t xml:space="preserve">iznose 746,50 € odnosno 56% plana. </w:t>
      </w:r>
    </w:p>
    <w:p w14:paraId="1A921BFD" w14:textId="7FA9777F" w:rsidR="00634FE3" w:rsidRPr="00212D8A" w:rsidRDefault="00634FE3" w:rsidP="00212D8A">
      <w:pPr>
        <w:jc w:val="both"/>
        <w:rPr>
          <w:rFonts w:ascii="Merriweather Light" w:hAnsi="Merriweather Light"/>
          <w:sz w:val="22"/>
          <w:szCs w:val="22"/>
        </w:rPr>
      </w:pPr>
    </w:p>
    <w:p w14:paraId="235A521A" w14:textId="5B0C78CC" w:rsidR="001062A8" w:rsidRPr="00212D8A" w:rsidRDefault="001062A8" w:rsidP="00212D8A">
      <w:pPr>
        <w:jc w:val="both"/>
        <w:rPr>
          <w:rFonts w:ascii="Merriweather Light" w:hAnsi="Merriweather Light"/>
          <w:sz w:val="22"/>
          <w:szCs w:val="22"/>
        </w:rPr>
      </w:pPr>
    </w:p>
    <w:p w14:paraId="088323A6" w14:textId="4C3C0912" w:rsidR="001062A8" w:rsidRPr="00212D8A" w:rsidRDefault="001062A8" w:rsidP="00212D8A">
      <w:pPr>
        <w:pStyle w:val="ListParagraph"/>
        <w:numPr>
          <w:ilvl w:val="0"/>
          <w:numId w:val="27"/>
        </w:numPr>
        <w:spacing w:after="0"/>
        <w:jc w:val="both"/>
        <w:rPr>
          <w:rFonts w:ascii="Merriweather Light" w:hAnsi="Merriweather Light" w:cs="Times New Roman"/>
          <w:b/>
          <w:bCs/>
        </w:rPr>
      </w:pPr>
      <w:r w:rsidRPr="00212D8A">
        <w:rPr>
          <w:rFonts w:ascii="Merriweather Light" w:hAnsi="Merriweather Light" w:cs="Times New Roman"/>
          <w:b/>
          <w:bCs/>
        </w:rPr>
        <w:t>Rashodi</w:t>
      </w:r>
    </w:p>
    <w:p w14:paraId="1C23D043" w14:textId="2B6F379E" w:rsidR="001062A8" w:rsidRPr="00212D8A" w:rsidRDefault="001062A8" w:rsidP="00212D8A">
      <w:pPr>
        <w:jc w:val="both"/>
        <w:rPr>
          <w:rFonts w:ascii="Merriweather Light" w:hAnsi="Merriweather Light"/>
          <w:sz w:val="22"/>
          <w:szCs w:val="22"/>
        </w:rPr>
      </w:pPr>
    </w:p>
    <w:p w14:paraId="6DDD539C" w14:textId="435DAACF" w:rsidR="001062A8" w:rsidRPr="00212D8A" w:rsidRDefault="001062A8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Ukupni rashodi Sveučilišta u Zadru za razdoblje od 1.1.-30.6.2023. </w:t>
      </w:r>
      <w:r w:rsidR="002C1B52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godine 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iznose 15.503.136,29 € što je 53% plana, te 5% više u odnosu na isto razdoblje prethodne godine.</w:t>
      </w:r>
    </w:p>
    <w:p w14:paraId="5EDD6960" w14:textId="6AEB7A1D" w:rsidR="001062A8" w:rsidRPr="00212D8A" w:rsidRDefault="001062A8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Rashodi se sastoje od rashoda poslovanja i rashoda za nabavu nefinancijske imovine.</w:t>
      </w:r>
    </w:p>
    <w:p w14:paraId="6F2082AE" w14:textId="46224A72" w:rsidR="001062A8" w:rsidRPr="00212D8A" w:rsidRDefault="001062A8" w:rsidP="00212D8A">
      <w:pPr>
        <w:pStyle w:val="ListParagraph"/>
        <w:numPr>
          <w:ilvl w:val="1"/>
          <w:numId w:val="27"/>
        </w:numPr>
        <w:jc w:val="both"/>
        <w:rPr>
          <w:rFonts w:ascii="Merriweather Light" w:hAnsi="Merriweather Light" w:cs="Times New Roman"/>
          <w:b/>
          <w:bCs/>
        </w:rPr>
      </w:pPr>
      <w:r w:rsidRPr="00212D8A">
        <w:rPr>
          <w:rFonts w:ascii="Merriweather Light" w:hAnsi="Merriweather Light" w:cs="Times New Roman"/>
          <w:b/>
          <w:bCs/>
        </w:rPr>
        <w:t>Rashodi poslovanja</w:t>
      </w:r>
    </w:p>
    <w:p w14:paraId="4D424240" w14:textId="3BF593C9" w:rsidR="001062A8" w:rsidRPr="00212D8A" w:rsidRDefault="00CD10B1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Rashodi </w:t>
      </w:r>
      <w:r w:rsidR="001062A8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poslovanja Sveučilišta u Zadru sadrže rashode za zaposlene, materijalne rashode, financijske rashode</w:t>
      </w:r>
      <w:r w:rsidR="00103223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, subvencije, pomoći dane u inozemstvo, isplata stipendija i subvencije prehrane i smještaja studenata.</w:t>
      </w:r>
    </w:p>
    <w:p w14:paraId="01F4609A" w14:textId="39BE8204" w:rsidR="001062A8" w:rsidRPr="00212D8A" w:rsidRDefault="00103223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Rashodi</w:t>
      </w:r>
      <w:r w:rsidR="001062A8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poslovanja za razdoblje 1.1.-30.6.2023. </w:t>
      </w:r>
      <w:r w:rsidR="00C148C2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godine </w:t>
      </w:r>
      <w:r w:rsidR="001062A8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iznose 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13.428.559,46</w:t>
      </w:r>
      <w:r w:rsidR="001062A8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€, što je 5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1</w:t>
      </w:r>
      <w:r w:rsidR="001062A8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% plana te 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11</w:t>
      </w:r>
      <w:r w:rsidR="001062A8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% 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više</w:t>
      </w:r>
      <w:r w:rsidR="001062A8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od istog razdoblja prethodne godine.</w:t>
      </w:r>
    </w:p>
    <w:p w14:paraId="172AB523" w14:textId="676848E1" w:rsidR="001062A8" w:rsidRPr="00212D8A" w:rsidRDefault="001062A8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Najveći udio imaju </w:t>
      </w:r>
      <w:r w:rsidR="00103223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rashodi za zaposlene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u iznosu </w:t>
      </w:r>
      <w:r w:rsidR="00103223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9.677.609,88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€ odnosno 46% plana. Također, značajan udio imaju </w:t>
      </w:r>
      <w:r w:rsidR="00103223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materijalni rashodi u iznosu 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</w:t>
      </w:r>
      <w:r w:rsidR="00103223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2.893.149,19 € odnosno 74% plana te 6% više od istog razdoblja prethodne godine.</w:t>
      </w:r>
    </w:p>
    <w:p w14:paraId="5DD685AA" w14:textId="45320926" w:rsidR="001062A8" w:rsidRPr="00212D8A" w:rsidRDefault="001062A8" w:rsidP="00212D8A">
      <w:pPr>
        <w:spacing w:after="160" w:line="259" w:lineRule="auto"/>
        <w:jc w:val="both"/>
        <w:rPr>
          <w:rFonts w:ascii="Merriweather Light" w:hAnsi="Merriweather Light"/>
          <w:sz w:val="22"/>
          <w:szCs w:val="22"/>
        </w:rPr>
      </w:pPr>
      <w:r w:rsidRPr="00212D8A">
        <w:rPr>
          <w:rFonts w:ascii="Merriweather Light" w:hAnsi="Merriweather Light"/>
          <w:sz w:val="22"/>
          <w:szCs w:val="22"/>
          <w:shd w:val="clear" w:color="auto" w:fill="FFFFFF"/>
        </w:rPr>
        <w:t>Veće odstupanje u odnosu na izvršenje prethodne godine vidi se kod</w:t>
      </w:r>
      <w:r w:rsidRPr="00212D8A">
        <w:rPr>
          <w:rFonts w:ascii="Merriweather Light" w:hAnsi="Merriweather Light"/>
          <w:sz w:val="22"/>
          <w:szCs w:val="22"/>
        </w:rPr>
        <w:t xml:space="preserve"> </w:t>
      </w:r>
      <w:r w:rsidR="001C1EEF" w:rsidRPr="00212D8A">
        <w:rPr>
          <w:rFonts w:ascii="Merriweather Light" w:hAnsi="Merriweather Light"/>
          <w:sz w:val="22"/>
          <w:szCs w:val="22"/>
        </w:rPr>
        <w:t>izdataka za trošak električne energije iz izvora 43</w:t>
      </w:r>
      <w:r w:rsidR="00C148C2" w:rsidRPr="00212D8A">
        <w:rPr>
          <w:rFonts w:ascii="Merriweather Light" w:hAnsi="Merriweather Light"/>
          <w:sz w:val="22"/>
          <w:szCs w:val="22"/>
        </w:rPr>
        <w:t xml:space="preserve"> ostali prihodi za posebne namjene</w:t>
      </w:r>
      <w:r w:rsidR="001C1EEF" w:rsidRPr="00212D8A">
        <w:rPr>
          <w:rFonts w:ascii="Merriweather Light" w:hAnsi="Merriweather Light"/>
          <w:sz w:val="22"/>
          <w:szCs w:val="22"/>
        </w:rPr>
        <w:t>, te naknade troškova osobama izvan radnog odnosa gdje povećanje iznosi 71% u odnosu na isto razdoblje prethodne godine.</w:t>
      </w:r>
    </w:p>
    <w:p w14:paraId="09D2AE1E" w14:textId="389F142A" w:rsidR="001062A8" w:rsidRPr="00212D8A" w:rsidRDefault="00CD10B1" w:rsidP="00212D8A">
      <w:pPr>
        <w:pStyle w:val="ListParagraph"/>
        <w:numPr>
          <w:ilvl w:val="1"/>
          <w:numId w:val="27"/>
        </w:numPr>
        <w:jc w:val="both"/>
        <w:rPr>
          <w:rFonts w:ascii="Merriweather Light" w:hAnsi="Merriweather Light" w:cs="Times New Roman"/>
          <w:b/>
          <w:bCs/>
        </w:rPr>
      </w:pPr>
      <w:r w:rsidRPr="00212D8A">
        <w:rPr>
          <w:rFonts w:ascii="Merriweather Light" w:hAnsi="Merriweather Light" w:cs="Times New Roman"/>
          <w:b/>
          <w:bCs/>
        </w:rPr>
        <w:t>Rashodi za nabavu nefinancijske imovine</w:t>
      </w:r>
    </w:p>
    <w:p w14:paraId="29D82486" w14:textId="1B49CCC5" w:rsidR="00CD10B1" w:rsidRPr="00212D8A" w:rsidRDefault="00CD10B1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sz w:val="22"/>
          <w:szCs w:val="22"/>
        </w:rPr>
        <w:t xml:space="preserve">Rashodi za nabavu nefinancijske imovine 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Sveučilišta u Zadru sadrže rashode za nabavu neproizvedene imovine, rashode za nabavu proizvedene imovine te rashode za dodatna ulaganja na nefinancijskoj imovini.  </w:t>
      </w:r>
    </w:p>
    <w:p w14:paraId="63FE0178" w14:textId="79F80741" w:rsidR="00CD10B1" w:rsidRPr="00212D8A" w:rsidRDefault="00CD10B1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sz w:val="22"/>
          <w:szCs w:val="22"/>
        </w:rPr>
        <w:t xml:space="preserve">Rashodi za nabavu nefinancijske imovine 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>za razdoblje 1.1.-30.6.2023.</w:t>
      </w:r>
      <w:r w:rsidR="00C148C2"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godine</w:t>
      </w: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t xml:space="preserve"> iznose 2.074.576,83 €, što je 83% plana te 23% manje od istog razdoblja prethodne godine.</w:t>
      </w:r>
    </w:p>
    <w:p w14:paraId="228B3BCD" w14:textId="65324F74" w:rsidR="00CD10B1" w:rsidRPr="00212D8A" w:rsidRDefault="00CD10B1" w:rsidP="00212D8A">
      <w:pPr>
        <w:spacing w:after="160" w:line="259" w:lineRule="auto"/>
        <w:jc w:val="both"/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</w:pPr>
      <w:r w:rsidRPr="00212D8A">
        <w:rPr>
          <w:rFonts w:ascii="Merriweather Light" w:hAnsi="Merriweather Light"/>
          <w:color w:val="000000"/>
          <w:sz w:val="22"/>
          <w:szCs w:val="22"/>
          <w:shd w:val="clear" w:color="auto" w:fill="FFFFFF"/>
        </w:rPr>
        <w:lastRenderedPageBreak/>
        <w:t>Najveći udio imaju rashodi za dodatna ulaganja na nefinancijskoj imovini u iznosu 1.594.960,19 € odnosno 80% plana. Radi se o rashodima rekonstrukcije Tehničke škole u sklopu projekta „Sveučilišna znanstveno-nastavna infrastruktura za 21. stoljeće“.</w:t>
      </w:r>
    </w:p>
    <w:p w14:paraId="5281EDD4" w14:textId="1694A786" w:rsidR="00CD10B1" w:rsidRPr="00212D8A" w:rsidRDefault="00CD10B1" w:rsidP="00212D8A">
      <w:pPr>
        <w:spacing w:after="160" w:line="259" w:lineRule="auto"/>
        <w:jc w:val="both"/>
        <w:rPr>
          <w:rFonts w:ascii="Merriweather Light" w:hAnsi="Merriweather Light"/>
          <w:sz w:val="22"/>
          <w:szCs w:val="22"/>
        </w:rPr>
      </w:pPr>
      <w:r w:rsidRPr="00212D8A">
        <w:rPr>
          <w:rFonts w:ascii="Merriweather Light" w:hAnsi="Merriweather Light"/>
          <w:sz w:val="22"/>
          <w:szCs w:val="22"/>
          <w:shd w:val="clear" w:color="auto" w:fill="FFFFFF"/>
        </w:rPr>
        <w:t>Veće odstupanje u odnosu na izvršenje prethodne godine vidi se upravo kod rashoda za ulaganje u rekonstrukciju Tehničke škole i to na izvoru 12 Sredstva nacionalnog sufinanciranja odnosno sufinanciranje od strane nadležnog Ministarstva.</w:t>
      </w:r>
    </w:p>
    <w:p w14:paraId="64B5629E" w14:textId="77777777" w:rsidR="001062A8" w:rsidRPr="00212D8A" w:rsidRDefault="001062A8" w:rsidP="00E11EB4">
      <w:pPr>
        <w:jc w:val="both"/>
        <w:rPr>
          <w:rFonts w:ascii="Merriweather Light" w:hAnsi="Merriweather Light"/>
          <w:sz w:val="22"/>
          <w:szCs w:val="22"/>
        </w:rPr>
      </w:pPr>
    </w:p>
    <w:p w14:paraId="7CC330B2" w14:textId="77777777" w:rsidR="00742C31" w:rsidRDefault="00742C31" w:rsidP="00E11EB4">
      <w:pPr>
        <w:jc w:val="both"/>
        <w:rPr>
          <w:rFonts w:ascii="Merriweather Light" w:hAnsi="Merriweather Light"/>
          <w:sz w:val="22"/>
          <w:szCs w:val="22"/>
        </w:rPr>
      </w:pPr>
    </w:p>
    <w:p w14:paraId="39521F1B" w14:textId="77777777" w:rsidR="00742C31" w:rsidRDefault="00742C31" w:rsidP="00E11EB4">
      <w:pPr>
        <w:jc w:val="both"/>
        <w:rPr>
          <w:rFonts w:ascii="Merriweather Light" w:hAnsi="Merriweather Light"/>
          <w:sz w:val="22"/>
          <w:szCs w:val="22"/>
        </w:rPr>
      </w:pPr>
    </w:p>
    <w:p w14:paraId="4E238B53" w14:textId="67300C3B" w:rsidR="00E11EB4" w:rsidRPr="00212D8A" w:rsidRDefault="00E11EB4" w:rsidP="00E11EB4">
      <w:pPr>
        <w:jc w:val="both"/>
        <w:rPr>
          <w:rFonts w:ascii="Merriweather Light" w:hAnsi="Merriweather Light"/>
          <w:sz w:val="22"/>
          <w:szCs w:val="22"/>
        </w:rPr>
      </w:pPr>
      <w:r w:rsidRPr="00212D8A">
        <w:rPr>
          <w:rFonts w:ascii="Merriweather Light" w:hAnsi="Merriweather Light"/>
          <w:sz w:val="22"/>
          <w:szCs w:val="22"/>
        </w:rPr>
        <w:t xml:space="preserve">U Zadru, </w:t>
      </w:r>
      <w:r w:rsidR="00353EFA">
        <w:rPr>
          <w:rFonts w:ascii="Merriweather Light" w:hAnsi="Merriweather Light"/>
          <w:sz w:val="22"/>
          <w:szCs w:val="22"/>
        </w:rPr>
        <w:t>18</w:t>
      </w:r>
      <w:r w:rsidR="002F006F" w:rsidRPr="00212D8A">
        <w:rPr>
          <w:rFonts w:ascii="Merriweather Light" w:hAnsi="Merriweather Light"/>
          <w:sz w:val="22"/>
          <w:szCs w:val="22"/>
        </w:rPr>
        <w:t>. srpnja 2023.</w:t>
      </w:r>
      <w:r w:rsidR="008644C2" w:rsidRPr="00212D8A">
        <w:rPr>
          <w:rFonts w:ascii="Merriweather Light" w:hAnsi="Merriweather Light"/>
          <w:sz w:val="22"/>
          <w:szCs w:val="22"/>
        </w:rPr>
        <w:tab/>
      </w:r>
      <w:r w:rsidR="008644C2" w:rsidRPr="00212D8A">
        <w:rPr>
          <w:rFonts w:ascii="Merriweather Light" w:hAnsi="Merriweather Light"/>
          <w:sz w:val="22"/>
          <w:szCs w:val="22"/>
        </w:rPr>
        <w:tab/>
      </w:r>
      <w:r w:rsidR="008644C2" w:rsidRPr="00212D8A">
        <w:rPr>
          <w:rFonts w:ascii="Merriweather Light" w:hAnsi="Merriweather Light"/>
          <w:sz w:val="22"/>
          <w:szCs w:val="22"/>
        </w:rPr>
        <w:tab/>
      </w:r>
      <w:r w:rsidR="008644C2" w:rsidRPr="00212D8A">
        <w:rPr>
          <w:rFonts w:ascii="Merriweather Light" w:hAnsi="Merriweather Light"/>
          <w:sz w:val="22"/>
          <w:szCs w:val="22"/>
        </w:rPr>
        <w:tab/>
      </w:r>
      <w:r w:rsidR="008644C2" w:rsidRPr="00212D8A">
        <w:rPr>
          <w:rFonts w:ascii="Merriweather Light" w:hAnsi="Merriweather Light"/>
          <w:sz w:val="22"/>
          <w:szCs w:val="22"/>
        </w:rPr>
        <w:tab/>
      </w:r>
      <w:r w:rsidR="008644C2" w:rsidRPr="00212D8A">
        <w:rPr>
          <w:rFonts w:ascii="Merriweather Light" w:hAnsi="Merriweather Light"/>
          <w:sz w:val="22"/>
          <w:szCs w:val="22"/>
        </w:rPr>
        <w:tab/>
      </w:r>
      <w:r w:rsidR="008644C2" w:rsidRPr="00212D8A">
        <w:rPr>
          <w:rFonts w:ascii="Merriweather Light" w:hAnsi="Merriweather Light"/>
          <w:sz w:val="22"/>
          <w:szCs w:val="22"/>
        </w:rPr>
        <w:tab/>
        <w:t xml:space="preserve">  Rektorica</w:t>
      </w:r>
    </w:p>
    <w:p w14:paraId="2F45E03C" w14:textId="26B8328B" w:rsidR="008644C2" w:rsidRPr="00212D8A" w:rsidRDefault="008644C2" w:rsidP="00E11EB4">
      <w:pPr>
        <w:jc w:val="both"/>
        <w:rPr>
          <w:rFonts w:ascii="Merriweather Light" w:hAnsi="Merriweather Light"/>
          <w:sz w:val="22"/>
          <w:szCs w:val="22"/>
        </w:rPr>
      </w:pPr>
    </w:p>
    <w:p w14:paraId="0377C2AF" w14:textId="2474724B" w:rsidR="008644C2" w:rsidRPr="00212D8A" w:rsidRDefault="008644C2" w:rsidP="00E11EB4">
      <w:pPr>
        <w:jc w:val="both"/>
        <w:rPr>
          <w:rFonts w:ascii="Merriweather Light" w:hAnsi="Merriweather Light"/>
          <w:sz w:val="22"/>
          <w:szCs w:val="22"/>
        </w:rPr>
      </w:pPr>
    </w:p>
    <w:p w14:paraId="22515BFF" w14:textId="71062F34" w:rsidR="008644C2" w:rsidRPr="00212D8A" w:rsidRDefault="008644C2" w:rsidP="008644C2">
      <w:pPr>
        <w:jc w:val="right"/>
        <w:rPr>
          <w:rFonts w:ascii="Merriweather Light" w:hAnsi="Merriweather Light"/>
          <w:sz w:val="22"/>
          <w:szCs w:val="22"/>
        </w:rPr>
      </w:pPr>
      <w:r w:rsidRPr="00212D8A">
        <w:rPr>
          <w:rFonts w:ascii="Merriweather Light" w:hAnsi="Merriweather Light"/>
          <w:sz w:val="22"/>
          <w:szCs w:val="22"/>
        </w:rPr>
        <w:t>Prof. dr. sc. Dijana Vican</w:t>
      </w:r>
    </w:p>
    <w:sectPr w:rsidR="008644C2" w:rsidRPr="00212D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5610" w14:textId="77777777" w:rsidR="00B70A47" w:rsidRDefault="00B70A47">
      <w:r>
        <w:separator/>
      </w:r>
    </w:p>
  </w:endnote>
  <w:endnote w:type="continuationSeparator" w:id="0">
    <w:p w14:paraId="7AD8D15F" w14:textId="77777777" w:rsidR="00B70A47" w:rsidRDefault="00B7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EndPr/>
    <w:sdtContent>
      <w:p w14:paraId="46AD1CB8" w14:textId="528DCA19" w:rsidR="00AA208B" w:rsidRDefault="00AA20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7A338DBD" w14:textId="77777777" w:rsidR="00AA208B" w:rsidRDefault="00AA2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A1DA" w14:textId="77777777" w:rsidR="00B70A47" w:rsidRDefault="00B70A47">
      <w:r>
        <w:separator/>
      </w:r>
    </w:p>
  </w:footnote>
  <w:footnote w:type="continuationSeparator" w:id="0">
    <w:p w14:paraId="55EA7901" w14:textId="77777777" w:rsidR="00B70A47" w:rsidRDefault="00B70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44A71"/>
    <w:multiLevelType w:val="hybridMultilevel"/>
    <w:tmpl w:val="25582A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7BD8"/>
    <w:multiLevelType w:val="hybridMultilevel"/>
    <w:tmpl w:val="BFAE1D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54C38"/>
    <w:multiLevelType w:val="multilevel"/>
    <w:tmpl w:val="76FA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2DFA"/>
    <w:multiLevelType w:val="multilevel"/>
    <w:tmpl w:val="2A348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672829"/>
    <w:multiLevelType w:val="multilevel"/>
    <w:tmpl w:val="591CF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C72C4C"/>
    <w:multiLevelType w:val="hybridMultilevel"/>
    <w:tmpl w:val="427AB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92137"/>
    <w:multiLevelType w:val="hybridMultilevel"/>
    <w:tmpl w:val="DFB85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6E6651"/>
    <w:multiLevelType w:val="hybridMultilevel"/>
    <w:tmpl w:val="194AAE96"/>
    <w:lvl w:ilvl="0" w:tplc="EE9C849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23"/>
  </w:num>
  <w:num w:numId="5">
    <w:abstractNumId w:val="4"/>
  </w:num>
  <w:num w:numId="6">
    <w:abstractNumId w:val="5"/>
  </w:num>
  <w:num w:numId="7">
    <w:abstractNumId w:val="21"/>
  </w:num>
  <w:num w:numId="8">
    <w:abstractNumId w:val="0"/>
  </w:num>
  <w:num w:numId="9">
    <w:abstractNumId w:val="26"/>
  </w:num>
  <w:num w:numId="10">
    <w:abstractNumId w:val="14"/>
  </w:num>
  <w:num w:numId="11">
    <w:abstractNumId w:val="18"/>
  </w:num>
  <w:num w:numId="12">
    <w:abstractNumId w:val="3"/>
  </w:num>
  <w:num w:numId="13">
    <w:abstractNumId w:val="24"/>
  </w:num>
  <w:num w:numId="14">
    <w:abstractNumId w:val="2"/>
  </w:num>
  <w:num w:numId="15">
    <w:abstractNumId w:val="12"/>
  </w:num>
  <w:num w:numId="16">
    <w:abstractNumId w:val="17"/>
  </w:num>
  <w:num w:numId="17">
    <w:abstractNumId w:val="10"/>
  </w:num>
  <w:num w:numId="18">
    <w:abstractNumId w:val="9"/>
  </w:num>
  <w:num w:numId="19">
    <w:abstractNumId w:val="22"/>
  </w:num>
  <w:num w:numId="20">
    <w:abstractNumId w:val="20"/>
  </w:num>
  <w:num w:numId="21">
    <w:abstractNumId w:val="8"/>
  </w:num>
  <w:num w:numId="22">
    <w:abstractNumId w:val="11"/>
  </w:num>
  <w:num w:numId="23">
    <w:abstractNumId w:val="15"/>
  </w:num>
  <w:num w:numId="24">
    <w:abstractNumId w:val="6"/>
  </w:num>
  <w:num w:numId="25">
    <w:abstractNumId w:val="19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0126"/>
    <w:rsid w:val="00023E1D"/>
    <w:rsid w:val="0003315A"/>
    <w:rsid w:val="00045798"/>
    <w:rsid w:val="00045970"/>
    <w:rsid w:val="00065DB7"/>
    <w:rsid w:val="000667F8"/>
    <w:rsid w:val="00066CB1"/>
    <w:rsid w:val="000672DB"/>
    <w:rsid w:val="00067BF5"/>
    <w:rsid w:val="00070ACE"/>
    <w:rsid w:val="00076194"/>
    <w:rsid w:val="00077EFE"/>
    <w:rsid w:val="00086288"/>
    <w:rsid w:val="00087DAB"/>
    <w:rsid w:val="000977C8"/>
    <w:rsid w:val="000C7476"/>
    <w:rsid w:val="000D52D6"/>
    <w:rsid w:val="000D6D25"/>
    <w:rsid w:val="000F0F88"/>
    <w:rsid w:val="000F0FD3"/>
    <w:rsid w:val="001001D1"/>
    <w:rsid w:val="00103223"/>
    <w:rsid w:val="001062A8"/>
    <w:rsid w:val="0012537A"/>
    <w:rsid w:val="001316B9"/>
    <w:rsid w:val="00131B25"/>
    <w:rsid w:val="00135560"/>
    <w:rsid w:val="00143B68"/>
    <w:rsid w:val="0014423B"/>
    <w:rsid w:val="00155799"/>
    <w:rsid w:val="001679B2"/>
    <w:rsid w:val="00170E8C"/>
    <w:rsid w:val="0017181C"/>
    <w:rsid w:val="00172253"/>
    <w:rsid w:val="00180D0F"/>
    <w:rsid w:val="001865FF"/>
    <w:rsid w:val="00190034"/>
    <w:rsid w:val="001A283C"/>
    <w:rsid w:val="001B0F7A"/>
    <w:rsid w:val="001B29EC"/>
    <w:rsid w:val="001C1E36"/>
    <w:rsid w:val="001C1EEF"/>
    <w:rsid w:val="001C6323"/>
    <w:rsid w:val="001C76E5"/>
    <w:rsid w:val="001D5B9D"/>
    <w:rsid w:val="001D7F07"/>
    <w:rsid w:val="001F4BA0"/>
    <w:rsid w:val="002001C9"/>
    <w:rsid w:val="00203B9E"/>
    <w:rsid w:val="00207C01"/>
    <w:rsid w:val="00212D8A"/>
    <w:rsid w:val="00220BF7"/>
    <w:rsid w:val="00225A8A"/>
    <w:rsid w:val="00227D81"/>
    <w:rsid w:val="00230AF8"/>
    <w:rsid w:val="00236B00"/>
    <w:rsid w:val="00245A5E"/>
    <w:rsid w:val="00246E2D"/>
    <w:rsid w:val="00250682"/>
    <w:rsid w:val="0025160B"/>
    <w:rsid w:val="002579AE"/>
    <w:rsid w:val="0026307B"/>
    <w:rsid w:val="002656C1"/>
    <w:rsid w:val="00266333"/>
    <w:rsid w:val="0027086B"/>
    <w:rsid w:val="00274910"/>
    <w:rsid w:val="00274DA2"/>
    <w:rsid w:val="002847B1"/>
    <w:rsid w:val="002B0064"/>
    <w:rsid w:val="002B310F"/>
    <w:rsid w:val="002B5A38"/>
    <w:rsid w:val="002B785A"/>
    <w:rsid w:val="002B78FE"/>
    <w:rsid w:val="002C1B52"/>
    <w:rsid w:val="002C7121"/>
    <w:rsid w:val="002D07E1"/>
    <w:rsid w:val="002D1CD4"/>
    <w:rsid w:val="002D34C5"/>
    <w:rsid w:val="002D444E"/>
    <w:rsid w:val="002D494D"/>
    <w:rsid w:val="002D5F10"/>
    <w:rsid w:val="002E7831"/>
    <w:rsid w:val="002F006F"/>
    <w:rsid w:val="002F0F88"/>
    <w:rsid w:val="002F377B"/>
    <w:rsid w:val="002F78C2"/>
    <w:rsid w:val="00306900"/>
    <w:rsid w:val="00316F89"/>
    <w:rsid w:val="00322A60"/>
    <w:rsid w:val="003239CD"/>
    <w:rsid w:val="00324025"/>
    <w:rsid w:val="003479F3"/>
    <w:rsid w:val="00352AF7"/>
    <w:rsid w:val="00353EFA"/>
    <w:rsid w:val="0036134E"/>
    <w:rsid w:val="00362133"/>
    <w:rsid w:val="00364086"/>
    <w:rsid w:val="00364E51"/>
    <w:rsid w:val="00367C03"/>
    <w:rsid w:val="00370306"/>
    <w:rsid w:val="00373AC1"/>
    <w:rsid w:val="0037720D"/>
    <w:rsid w:val="003774DF"/>
    <w:rsid w:val="00380EC0"/>
    <w:rsid w:val="0038255A"/>
    <w:rsid w:val="00397368"/>
    <w:rsid w:val="003A216D"/>
    <w:rsid w:val="003A2F27"/>
    <w:rsid w:val="003B2CF0"/>
    <w:rsid w:val="003C09BA"/>
    <w:rsid w:val="003C418E"/>
    <w:rsid w:val="003D1937"/>
    <w:rsid w:val="003D4875"/>
    <w:rsid w:val="003D5E36"/>
    <w:rsid w:val="003E2F9C"/>
    <w:rsid w:val="003E41AE"/>
    <w:rsid w:val="003F2B51"/>
    <w:rsid w:val="003F7BC0"/>
    <w:rsid w:val="004308F8"/>
    <w:rsid w:val="00440012"/>
    <w:rsid w:val="004426CF"/>
    <w:rsid w:val="004439C7"/>
    <w:rsid w:val="00445B23"/>
    <w:rsid w:val="0045015F"/>
    <w:rsid w:val="00457A4D"/>
    <w:rsid w:val="00460051"/>
    <w:rsid w:val="004624D3"/>
    <w:rsid w:val="004716E1"/>
    <w:rsid w:val="00471FDB"/>
    <w:rsid w:val="00476DE4"/>
    <w:rsid w:val="00482C87"/>
    <w:rsid w:val="004830EC"/>
    <w:rsid w:val="00490782"/>
    <w:rsid w:val="00491592"/>
    <w:rsid w:val="00491BDE"/>
    <w:rsid w:val="00492EB8"/>
    <w:rsid w:val="00495B53"/>
    <w:rsid w:val="00497BCB"/>
    <w:rsid w:val="004A3BDD"/>
    <w:rsid w:val="004B3365"/>
    <w:rsid w:val="004C36E2"/>
    <w:rsid w:val="004C3A59"/>
    <w:rsid w:val="004C5F0C"/>
    <w:rsid w:val="004D75AF"/>
    <w:rsid w:val="004E02C5"/>
    <w:rsid w:val="004E3744"/>
    <w:rsid w:val="004E45E7"/>
    <w:rsid w:val="004F3F6A"/>
    <w:rsid w:val="00502D6C"/>
    <w:rsid w:val="00511F15"/>
    <w:rsid w:val="00513025"/>
    <w:rsid w:val="005151A3"/>
    <w:rsid w:val="00516E07"/>
    <w:rsid w:val="005250B7"/>
    <w:rsid w:val="005270E4"/>
    <w:rsid w:val="00545E7B"/>
    <w:rsid w:val="00547116"/>
    <w:rsid w:val="0055589E"/>
    <w:rsid w:val="00555B4E"/>
    <w:rsid w:val="0055738B"/>
    <w:rsid w:val="0056043D"/>
    <w:rsid w:val="0056489D"/>
    <w:rsid w:val="00567314"/>
    <w:rsid w:val="0057710E"/>
    <w:rsid w:val="00585281"/>
    <w:rsid w:val="005860F4"/>
    <w:rsid w:val="00594DBB"/>
    <w:rsid w:val="005A063C"/>
    <w:rsid w:val="005A25E7"/>
    <w:rsid w:val="005B0F4D"/>
    <w:rsid w:val="005B1BBF"/>
    <w:rsid w:val="005C1A30"/>
    <w:rsid w:val="005C64A7"/>
    <w:rsid w:val="005D64E7"/>
    <w:rsid w:val="005E2C15"/>
    <w:rsid w:val="005F6650"/>
    <w:rsid w:val="006001F4"/>
    <w:rsid w:val="00604B09"/>
    <w:rsid w:val="00606337"/>
    <w:rsid w:val="00626896"/>
    <w:rsid w:val="00631806"/>
    <w:rsid w:val="00634617"/>
    <w:rsid w:val="00634FE3"/>
    <w:rsid w:val="00645872"/>
    <w:rsid w:val="006521CA"/>
    <w:rsid w:val="00652DF8"/>
    <w:rsid w:val="00662F00"/>
    <w:rsid w:val="00675296"/>
    <w:rsid w:val="00675A84"/>
    <w:rsid w:val="0067608F"/>
    <w:rsid w:val="0068124A"/>
    <w:rsid w:val="006837BC"/>
    <w:rsid w:val="00684E80"/>
    <w:rsid w:val="00687EC7"/>
    <w:rsid w:val="0069359C"/>
    <w:rsid w:val="006B7ABE"/>
    <w:rsid w:val="006C3D72"/>
    <w:rsid w:val="006D119D"/>
    <w:rsid w:val="006E0C0D"/>
    <w:rsid w:val="006E24E1"/>
    <w:rsid w:val="006E5638"/>
    <w:rsid w:val="006E56A1"/>
    <w:rsid w:val="006E6D1A"/>
    <w:rsid w:val="006F2073"/>
    <w:rsid w:val="00703212"/>
    <w:rsid w:val="0070462F"/>
    <w:rsid w:val="0072235A"/>
    <w:rsid w:val="007312A5"/>
    <w:rsid w:val="00731E3B"/>
    <w:rsid w:val="00736BCA"/>
    <w:rsid w:val="00741A11"/>
    <w:rsid w:val="00742C31"/>
    <w:rsid w:val="00742FDC"/>
    <w:rsid w:val="00746C8B"/>
    <w:rsid w:val="00754C4B"/>
    <w:rsid w:val="007703A8"/>
    <w:rsid w:val="00771647"/>
    <w:rsid w:val="00771FFB"/>
    <w:rsid w:val="0077353B"/>
    <w:rsid w:val="00776390"/>
    <w:rsid w:val="007769E7"/>
    <w:rsid w:val="00780288"/>
    <w:rsid w:val="00782901"/>
    <w:rsid w:val="00783CCA"/>
    <w:rsid w:val="0079091F"/>
    <w:rsid w:val="00792F27"/>
    <w:rsid w:val="0079703C"/>
    <w:rsid w:val="007A3E1E"/>
    <w:rsid w:val="007A482D"/>
    <w:rsid w:val="007B0312"/>
    <w:rsid w:val="007C094B"/>
    <w:rsid w:val="007C6C1C"/>
    <w:rsid w:val="007D2D63"/>
    <w:rsid w:val="007D4759"/>
    <w:rsid w:val="007D4980"/>
    <w:rsid w:val="007D7BDE"/>
    <w:rsid w:val="007E33B2"/>
    <w:rsid w:val="007E54AC"/>
    <w:rsid w:val="007E75FE"/>
    <w:rsid w:val="007F2DA1"/>
    <w:rsid w:val="00801622"/>
    <w:rsid w:val="00810045"/>
    <w:rsid w:val="0081052D"/>
    <w:rsid w:val="00812B7F"/>
    <w:rsid w:val="00815B7B"/>
    <w:rsid w:val="008202C4"/>
    <w:rsid w:val="00821005"/>
    <w:rsid w:val="008223B8"/>
    <w:rsid w:val="00830DF7"/>
    <w:rsid w:val="008363AF"/>
    <w:rsid w:val="00846E65"/>
    <w:rsid w:val="008542BF"/>
    <w:rsid w:val="00860859"/>
    <w:rsid w:val="00860AA9"/>
    <w:rsid w:val="00861CCD"/>
    <w:rsid w:val="008644C2"/>
    <w:rsid w:val="008750BD"/>
    <w:rsid w:val="008818C4"/>
    <w:rsid w:val="00881DC7"/>
    <w:rsid w:val="00882E6E"/>
    <w:rsid w:val="00886608"/>
    <w:rsid w:val="00887925"/>
    <w:rsid w:val="00891C15"/>
    <w:rsid w:val="008928D0"/>
    <w:rsid w:val="00893697"/>
    <w:rsid w:val="00896253"/>
    <w:rsid w:val="008A3158"/>
    <w:rsid w:val="008A7166"/>
    <w:rsid w:val="008C12C7"/>
    <w:rsid w:val="008C60B7"/>
    <w:rsid w:val="008D649E"/>
    <w:rsid w:val="008E155C"/>
    <w:rsid w:val="008E3E34"/>
    <w:rsid w:val="009048EF"/>
    <w:rsid w:val="00911375"/>
    <w:rsid w:val="009227E0"/>
    <w:rsid w:val="00927E90"/>
    <w:rsid w:val="00930ADA"/>
    <w:rsid w:val="00935D2B"/>
    <w:rsid w:val="00944C25"/>
    <w:rsid w:val="0094546E"/>
    <w:rsid w:val="00953A7E"/>
    <w:rsid w:val="00954371"/>
    <w:rsid w:val="00960F22"/>
    <w:rsid w:val="00967C08"/>
    <w:rsid w:val="00982EFA"/>
    <w:rsid w:val="00985271"/>
    <w:rsid w:val="009A331F"/>
    <w:rsid w:val="009A65A8"/>
    <w:rsid w:val="009C27E7"/>
    <w:rsid w:val="009C4DD8"/>
    <w:rsid w:val="009C67A3"/>
    <w:rsid w:val="009D1474"/>
    <w:rsid w:val="009D1DF0"/>
    <w:rsid w:val="009E1A7C"/>
    <w:rsid w:val="009E2203"/>
    <w:rsid w:val="009E6DC8"/>
    <w:rsid w:val="009F2D94"/>
    <w:rsid w:val="009F3382"/>
    <w:rsid w:val="009F3FB7"/>
    <w:rsid w:val="00A204EF"/>
    <w:rsid w:val="00A2500A"/>
    <w:rsid w:val="00A2520A"/>
    <w:rsid w:val="00A36F38"/>
    <w:rsid w:val="00A40249"/>
    <w:rsid w:val="00A4485A"/>
    <w:rsid w:val="00A45D8E"/>
    <w:rsid w:val="00A47270"/>
    <w:rsid w:val="00A54910"/>
    <w:rsid w:val="00A67D59"/>
    <w:rsid w:val="00A83F23"/>
    <w:rsid w:val="00AA208B"/>
    <w:rsid w:val="00AB333D"/>
    <w:rsid w:val="00AC0580"/>
    <w:rsid w:val="00AC1F88"/>
    <w:rsid w:val="00AC4C7B"/>
    <w:rsid w:val="00AC58DA"/>
    <w:rsid w:val="00AC5DF1"/>
    <w:rsid w:val="00AE6AAC"/>
    <w:rsid w:val="00AE7203"/>
    <w:rsid w:val="00B0189B"/>
    <w:rsid w:val="00B035D9"/>
    <w:rsid w:val="00B07809"/>
    <w:rsid w:val="00B14384"/>
    <w:rsid w:val="00B177B7"/>
    <w:rsid w:val="00B256DB"/>
    <w:rsid w:val="00B27A9A"/>
    <w:rsid w:val="00B3069B"/>
    <w:rsid w:val="00B30EDD"/>
    <w:rsid w:val="00B3137F"/>
    <w:rsid w:val="00B31535"/>
    <w:rsid w:val="00B317C7"/>
    <w:rsid w:val="00B34BA9"/>
    <w:rsid w:val="00B40D45"/>
    <w:rsid w:val="00B43445"/>
    <w:rsid w:val="00B4413C"/>
    <w:rsid w:val="00B454CC"/>
    <w:rsid w:val="00B63451"/>
    <w:rsid w:val="00B70A47"/>
    <w:rsid w:val="00B71DFF"/>
    <w:rsid w:val="00B7598C"/>
    <w:rsid w:val="00B7603F"/>
    <w:rsid w:val="00BA02FD"/>
    <w:rsid w:val="00BA1664"/>
    <w:rsid w:val="00BB47B9"/>
    <w:rsid w:val="00BC2AF2"/>
    <w:rsid w:val="00BC7079"/>
    <w:rsid w:val="00BD4586"/>
    <w:rsid w:val="00BD4DEB"/>
    <w:rsid w:val="00BD7FDD"/>
    <w:rsid w:val="00BE102F"/>
    <w:rsid w:val="00BE2C27"/>
    <w:rsid w:val="00BE741E"/>
    <w:rsid w:val="00BF50B1"/>
    <w:rsid w:val="00C07DD8"/>
    <w:rsid w:val="00C148C2"/>
    <w:rsid w:val="00C15167"/>
    <w:rsid w:val="00C25356"/>
    <w:rsid w:val="00C27B87"/>
    <w:rsid w:val="00C30624"/>
    <w:rsid w:val="00C35DF3"/>
    <w:rsid w:val="00C41FE8"/>
    <w:rsid w:val="00C5114D"/>
    <w:rsid w:val="00C51C46"/>
    <w:rsid w:val="00C53D67"/>
    <w:rsid w:val="00C54B88"/>
    <w:rsid w:val="00C57537"/>
    <w:rsid w:val="00C57A34"/>
    <w:rsid w:val="00C622F6"/>
    <w:rsid w:val="00C646AD"/>
    <w:rsid w:val="00C6526F"/>
    <w:rsid w:val="00C70BDB"/>
    <w:rsid w:val="00C71706"/>
    <w:rsid w:val="00C73478"/>
    <w:rsid w:val="00C82588"/>
    <w:rsid w:val="00C83B9C"/>
    <w:rsid w:val="00C84559"/>
    <w:rsid w:val="00C86056"/>
    <w:rsid w:val="00C92CD8"/>
    <w:rsid w:val="00C97A9D"/>
    <w:rsid w:val="00CA0085"/>
    <w:rsid w:val="00CB21EC"/>
    <w:rsid w:val="00CB251E"/>
    <w:rsid w:val="00CB3DDE"/>
    <w:rsid w:val="00CB5411"/>
    <w:rsid w:val="00CB764D"/>
    <w:rsid w:val="00CC73EB"/>
    <w:rsid w:val="00CC7CE0"/>
    <w:rsid w:val="00CD0421"/>
    <w:rsid w:val="00CD10B1"/>
    <w:rsid w:val="00CD3809"/>
    <w:rsid w:val="00CD442C"/>
    <w:rsid w:val="00CE4907"/>
    <w:rsid w:val="00CF0E04"/>
    <w:rsid w:val="00CF1327"/>
    <w:rsid w:val="00CF5FBD"/>
    <w:rsid w:val="00D04B44"/>
    <w:rsid w:val="00D11421"/>
    <w:rsid w:val="00D16A8C"/>
    <w:rsid w:val="00D26C73"/>
    <w:rsid w:val="00D32AAB"/>
    <w:rsid w:val="00D33ADB"/>
    <w:rsid w:val="00D36A67"/>
    <w:rsid w:val="00D425F1"/>
    <w:rsid w:val="00D43210"/>
    <w:rsid w:val="00D52640"/>
    <w:rsid w:val="00D60643"/>
    <w:rsid w:val="00D77228"/>
    <w:rsid w:val="00D8133B"/>
    <w:rsid w:val="00D82B50"/>
    <w:rsid w:val="00D8404A"/>
    <w:rsid w:val="00D90DA7"/>
    <w:rsid w:val="00DA2032"/>
    <w:rsid w:val="00DA347B"/>
    <w:rsid w:val="00DA40BC"/>
    <w:rsid w:val="00DA54BD"/>
    <w:rsid w:val="00DA7AFE"/>
    <w:rsid w:val="00DB7043"/>
    <w:rsid w:val="00DE7EE5"/>
    <w:rsid w:val="00E10E9D"/>
    <w:rsid w:val="00E11EB4"/>
    <w:rsid w:val="00E32762"/>
    <w:rsid w:val="00E34F8C"/>
    <w:rsid w:val="00E47E64"/>
    <w:rsid w:val="00E52935"/>
    <w:rsid w:val="00E65D86"/>
    <w:rsid w:val="00E807B7"/>
    <w:rsid w:val="00E82C09"/>
    <w:rsid w:val="00E85D5F"/>
    <w:rsid w:val="00E94982"/>
    <w:rsid w:val="00EA7F30"/>
    <w:rsid w:val="00EB077E"/>
    <w:rsid w:val="00EB3F1B"/>
    <w:rsid w:val="00EC5282"/>
    <w:rsid w:val="00ED41C0"/>
    <w:rsid w:val="00ED4DEF"/>
    <w:rsid w:val="00ED6463"/>
    <w:rsid w:val="00ED7381"/>
    <w:rsid w:val="00EE4435"/>
    <w:rsid w:val="00EF05CF"/>
    <w:rsid w:val="00EF17BF"/>
    <w:rsid w:val="00F03508"/>
    <w:rsid w:val="00F12286"/>
    <w:rsid w:val="00F41E72"/>
    <w:rsid w:val="00F448C4"/>
    <w:rsid w:val="00F46A68"/>
    <w:rsid w:val="00F5013D"/>
    <w:rsid w:val="00F61447"/>
    <w:rsid w:val="00F748B2"/>
    <w:rsid w:val="00F80198"/>
    <w:rsid w:val="00F802AA"/>
    <w:rsid w:val="00F815A6"/>
    <w:rsid w:val="00F92422"/>
    <w:rsid w:val="00FA220D"/>
    <w:rsid w:val="00FB24BA"/>
    <w:rsid w:val="00FC37E2"/>
    <w:rsid w:val="00FD41A7"/>
    <w:rsid w:val="00FD53A5"/>
    <w:rsid w:val="00FF4A36"/>
    <w:rsid w:val="532B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8AB2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B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4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D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D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45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99"/>
    <w:qFormat/>
    <w:rsid w:val="00741A11"/>
    <w:pPr>
      <w:ind w:left="91"/>
      <w:jc w:val="center"/>
    </w:pPr>
    <w:rPr>
      <w:rFonts w:ascii="Cambria" w:eastAsia="MS Mincho" w:hAnsi="Cambria"/>
      <w:b/>
      <w:bCs/>
      <w:color w:val="000000"/>
      <w:sz w:val="20"/>
      <w:szCs w:val="18"/>
      <w:lang w:eastAsia="en-US"/>
    </w:rPr>
  </w:style>
  <w:style w:type="paragraph" w:customStyle="1" w:styleId="Default">
    <w:name w:val="Default"/>
    <w:rsid w:val="0073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B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zadanifontodlomka-000006">
    <w:name w:val="zadanifontodlomka-000006"/>
    <w:basedOn w:val="DefaultParagraphFont"/>
    <w:rsid w:val="003E2F9C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13">
    <w:name w:val="000013"/>
    <w:basedOn w:val="DefaultParagraphFont"/>
    <w:rsid w:val="003E2F9C"/>
    <w:rPr>
      <w:rFonts w:ascii="Sylfaen" w:hAnsi="Sylfaen" w:hint="default"/>
      <w:b w:val="0"/>
      <w:bCs w:val="0"/>
      <w:sz w:val="24"/>
      <w:szCs w:val="24"/>
    </w:rPr>
  </w:style>
  <w:style w:type="paragraph" w:customStyle="1" w:styleId="000012">
    <w:name w:val="000012"/>
    <w:basedOn w:val="Normal"/>
    <w:rsid w:val="00D33ADB"/>
    <w:pPr>
      <w:shd w:val="clear" w:color="auto" w:fill="FFFFFF"/>
      <w:spacing w:before="100" w:beforeAutospacing="1"/>
      <w:jc w:val="both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1868">
          <w:marLeft w:val="0"/>
          <w:marRight w:val="0"/>
          <w:marTop w:val="0"/>
          <w:marBottom w:val="0"/>
          <w:divBdr>
            <w:top w:val="single" w:sz="6" w:space="0" w:color="CCCCCC"/>
            <w:left w:val="single" w:sz="48" w:space="0" w:color="E83F3D"/>
            <w:bottom w:val="single" w:sz="6" w:space="0" w:color="CCCCCC"/>
            <w:right w:val="none" w:sz="0" w:space="0" w:color="auto"/>
          </w:divBdr>
          <w:divsChild>
            <w:div w:id="74254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3959-17AE-4FFC-BBE0-A262993D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mpogoreli21</cp:lastModifiedBy>
  <cp:revision>5</cp:revision>
  <dcterms:created xsi:type="dcterms:W3CDTF">2023-07-17T12:59:00Z</dcterms:created>
  <dcterms:modified xsi:type="dcterms:W3CDTF">2023-07-17T13:46:00Z</dcterms:modified>
</cp:coreProperties>
</file>